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 ДОШКОЛЬНОЕ ОБРАЗОВАТЕЛЬНОЕ УЧРЕЖДЕНИЕ «ДЕТСКИЙ САД КОМПЕНСИРУЮЩЕГО ВИДА №31 «СКАЗКА» ГОРОДА НЕВИННОМЫССКА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УТВЕРЖДАЮ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Заведующая ГКДОУ 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>д/с №31 «Сказка»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>______И.А. Новикова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«__»_________20__г.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F2340C" w:rsidRPr="00D62D75" w:rsidRDefault="00D62D75" w:rsidP="00F2340C">
      <w:pPr>
        <w:widowControl w:val="0"/>
        <w:tabs>
          <w:tab w:val="left" w:pos="15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6C32">
        <w:rPr>
          <w:rFonts w:ascii="Times New Roman" w:eastAsia="Times New Roman" w:hAnsi="Times New Roman" w:cs="Times New Roman"/>
          <w:sz w:val="28"/>
          <w:szCs w:val="28"/>
        </w:rPr>
        <w:t>тажировки</w:t>
      </w:r>
      <w:r w:rsidRPr="00D62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D8F">
        <w:rPr>
          <w:rFonts w:ascii="Times New Roman" w:eastAsia="Times New Roman" w:hAnsi="Times New Roman" w:cs="Times New Roman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ч.)</w:t>
      </w:r>
    </w:p>
    <w:p w:rsidR="00F2340C" w:rsidRPr="00F2340C" w:rsidRDefault="00F2340C" w:rsidP="00F2340C">
      <w:pPr>
        <w:widowControl w:val="0"/>
        <w:tabs>
          <w:tab w:val="left" w:pos="1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340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для </w:t>
      </w:r>
      <w:r w:rsidRPr="00F2340C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работников дошкольного образования</w:t>
      </w:r>
    </w:p>
    <w:p w:rsidR="00F2340C" w:rsidRPr="00F2340C" w:rsidRDefault="00F2340C" w:rsidP="00F2340C">
      <w:pPr>
        <w:widowControl w:val="0"/>
        <w:tabs>
          <w:tab w:val="left" w:pos="1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40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D62D75">
        <w:rPr>
          <w:rFonts w:ascii="Times New Roman" w:eastAsia="Times New Roman" w:hAnsi="Times New Roman" w:cs="Times New Roman"/>
          <w:b/>
          <w:sz w:val="28"/>
          <w:szCs w:val="28"/>
        </w:rPr>
        <w:t>проблеме</w:t>
      </w:r>
      <w:r w:rsidRPr="00F234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340C">
        <w:rPr>
          <w:rFonts w:ascii="Times New Roman" w:eastAsia="Times New Roman" w:hAnsi="Times New Roman" w:cs="Times New Roman"/>
          <w:b/>
          <w:bCs/>
          <w:sz w:val="28"/>
          <w:szCs w:val="28"/>
        </w:rPr>
        <w:t>«Создание эффективной системы управления образованием в интересах личности, общества и государства на основе оптимального сочетания государственных, общественных и образовательных запросов</w:t>
      </w:r>
      <w:r w:rsidRPr="00F234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2340C" w:rsidRP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D75">
        <w:rPr>
          <w:rFonts w:ascii="Times New Roman" w:eastAsia="Times New Roman" w:hAnsi="Times New Roman" w:cs="Times New Roman"/>
          <w:sz w:val="28"/>
          <w:szCs w:val="28"/>
        </w:rPr>
        <w:t>Авторы/ составители программы:</w:t>
      </w:r>
    </w:p>
    <w:p w:rsidR="00D62D75" w:rsidRP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D75">
        <w:rPr>
          <w:rFonts w:ascii="Times New Roman" w:eastAsia="Times New Roman" w:hAnsi="Times New Roman" w:cs="Times New Roman"/>
          <w:sz w:val="28"/>
          <w:szCs w:val="28"/>
        </w:rPr>
        <w:t>Новикова Ирина Александровна</w:t>
      </w: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D75">
        <w:rPr>
          <w:rFonts w:ascii="Times New Roman" w:eastAsia="Times New Roman" w:hAnsi="Times New Roman" w:cs="Times New Roman"/>
          <w:sz w:val="28"/>
          <w:szCs w:val="28"/>
        </w:rPr>
        <w:t xml:space="preserve">Заведующая ГКДОУ </w:t>
      </w: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2D75">
        <w:rPr>
          <w:rFonts w:ascii="Times New Roman" w:eastAsia="Times New Roman" w:hAnsi="Times New Roman" w:cs="Times New Roman"/>
          <w:sz w:val="28"/>
          <w:szCs w:val="28"/>
        </w:rPr>
        <w:t>«Детский сад №31 «Сказка»</w:t>
      </w: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Невинномысск 2015г.</w:t>
      </w:r>
    </w:p>
    <w:p w:rsidR="00D62D75" w:rsidRPr="00D62D75" w:rsidRDefault="00D62D75" w:rsidP="00D62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340C" w:rsidRPr="00F2340C" w:rsidRDefault="00F2340C" w:rsidP="00F23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62D75" w:rsidRDefault="00D62D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07A09" w:rsidRPr="00707A09" w:rsidRDefault="00707A09" w:rsidP="00707A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Программа деятельности базового дошкольного образовательного учреждения </w:t>
      </w:r>
      <w:proofErr w:type="spellStart"/>
      <w:r w:rsidRPr="00707A09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площадки ГКДОУ «Детский сад №31 «Сказка» г. Невинномысска разработана для реализации мероприятий ФЦПРО по направлению «Достижение во всех субъектах Российской Федерации национальной образовательной инициативы «Наша новая школа» по мероприятию «Создание условий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</w:t>
      </w:r>
      <w:proofErr w:type="gramEnd"/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07A09" w:rsidRPr="00707A09" w:rsidRDefault="00707A09" w:rsidP="00707A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707A09" w:rsidRPr="00707A09" w:rsidRDefault="00707A09" w:rsidP="00DD1B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  <w:r w:rsidRPr="00707A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Сегодня российское общество претерпевает серьезные экономические и политические перемены. Модернизация системы образования  послужила новым витком обновления и развития дошкольной сферы. В связи с вступлением в силу Федерального закона « Об образовании в РФ» дошкольное образование стало первым уровнем общего образования и рассматривается</w:t>
      </w:r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 Становится очевидным, что в связи с внедрением ФГОС </w:t>
      </w:r>
      <w:proofErr w:type="gramStart"/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>главный</w:t>
      </w:r>
      <w:proofErr w:type="gramEnd"/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 стратегии развития образования - достижение нового качества образования, создание современной модели дошкольной организации с разными органами государственно – общественного управления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образованием</w:t>
      </w:r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Сегодня система  дошкольного образования выходит за рамки привычного, появляются новые подходы, создаются новые модели государственно-общественного управления, которые должны взять на себя определенные управленческие функции и, более того, влиять на выработку и реализацию стратегии жизнедеятельности</w:t>
      </w:r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дошкольной организации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, стать органом стратегического управления образовательным учреждением.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ab/>
        <w:t>Содержание программы стажировки разработано в русле реализации идей Закона «Об образовании в РФ», и для  реализации мероприятий ФЦПРО по направлению «Достижение во всех субъектах Российской Федерации национальной образовательной инициативы «Наша новая школа» по мероприятию «Создание условий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</w:t>
      </w:r>
      <w:r w:rsidRPr="00707A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8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07A0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условиях модернизации российского образования современному 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Повышение профессиональной компетентности слушателей по направлению </w:t>
      </w:r>
      <w:r w:rsidRPr="00707A09">
        <w:rPr>
          <w:rFonts w:ascii="Times New Roman" w:eastAsia="Times New Roman" w:hAnsi="Times New Roman" w:cs="Times New Roman"/>
          <w:b/>
          <w:bCs/>
          <w:sz w:val="28"/>
          <w:szCs w:val="28"/>
        </w:rPr>
        <w:t>«Создание условий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образования»</w:t>
      </w:r>
      <w:proofErr w:type="gramStart"/>
      <w:r w:rsidRPr="00707A0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707A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озможно в рамках стажёрской площадки на базе ГКДОУ «Детский сад №31 «Сказка» г. Невинномысска, одного из инновационных дошкольных образовательных учреждений  города и края.  </w:t>
      </w: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Кроме того, в ГКДОУ «Детский сад №31 «Сказка» активно развивается общественно-профессиональное самоуправление через организацию работы педагогического совета, работу методических объединений, работу творческих групп по различным направлениям;  на протяжении многих лет отрабатываются и различные формы педагогического самоуправления. Развиваются творческие объединения педагогов по различным направлениям. Воспитанники детского сада - победители и призёры международных, всероссийских, региональных и муниципальных конкурсов. Детский сад осуществляет социальное партнерство с различными организациями. Все это дало право детскому саду претендовать на статус региональной инновационной площадки и предложить ГКДОУ «Детский сад №31 «Сказка» как опорную базовую площадку по государственно-общественному управлению.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ДОУ должны ориентироваться на потребности родителей. Чтобы выжить </w:t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развивать различные виды образовательных услуг. Дошкольное учреждение должно быть конкурентоспособным, т. е. предоставлять качественные услуги, внедрять новые технологии, иметь разные вариативные формы содержания детей и быть доступными. Расширение сферы деятельности государственно-общественного управления позволяет максимально полно реализовать в деятельности учреждения образовательные потребности местного сообщества.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Единственный путь для этог</w:t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дать возможность всем участникам образовательного процесса принимать реальные решения, которые привязаны к жизни ДОУ, влиять на ситуацию. В процессе модернизации образования  предстоит обеспечить открытость образования, переход к модели взаимной ответственности в сферах воспитания детей и усилению роли всех субъектов. Система образования в нашем учреждении должна быть рассчитана на реальные потребности конкретных потребителей, т.е. на конкретных семей, местных сообществ, предприятий.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Проблема: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Отстраненность семьи и общества от проблем  дошкольного учреждения.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ab/>
        <w:t>Укрепление материально-технической базы и финансовых условий учреждения.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ab/>
        <w:t>Повышение конкурентоспособности и повышение качества предоставляемых услуг.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ab/>
        <w:t>Расширение демократизации управленческой деятельности.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ab/>
        <w:t xml:space="preserve">Создание нормативно-правовой базы </w:t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по самоуправлению регламентирующей деятельность дошкольного учреждения 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работы </w:t>
      </w:r>
      <w:proofErr w:type="spellStart"/>
      <w:r w:rsidRPr="00707A09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площадки и методических пособий для работников детских садов. Программа стажировки разработана в соответствии с квалификационными требованиями к руководителям дошкольных образовательных учреждений, заместителям руководителей, старшим </w:t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>воспитателям</w:t>
      </w:r>
      <w:proofErr w:type="gram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 непосредственно организующим процесс управления системой дошкольного образования. 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– Создание эффективной системы управления образованием в интересах личности, общества и государства на основе оптимального сочетания государственных, общественных и образовательных запросов.</w:t>
      </w: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поставленной целью определены </w:t>
      </w:r>
      <w:r w:rsidRPr="00707A0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, которые позволят гарантировать успешную презентацию деятельности детского сада:</w:t>
      </w:r>
    </w:p>
    <w:p w:rsidR="00707A09" w:rsidRPr="00707A09" w:rsidRDefault="00707A09" w:rsidP="00707A09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Обобщение  опыта дошкольного образовательного учреждения;</w:t>
      </w:r>
    </w:p>
    <w:p w:rsidR="00707A09" w:rsidRPr="00707A09" w:rsidRDefault="00707A09" w:rsidP="00707A09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нормативно-правовой базы государственно-общественного управления; </w:t>
      </w:r>
    </w:p>
    <w:p w:rsidR="00707A09" w:rsidRPr="00707A09" w:rsidRDefault="00707A09" w:rsidP="00707A09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Развитие единой модели государственно – общественного управления дошкольным образовательным учреждением;</w:t>
      </w:r>
    </w:p>
    <w:p w:rsidR="00707A09" w:rsidRPr="00707A09" w:rsidRDefault="00707A09" w:rsidP="00707A09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и принципов социального партнерства с образовательными учреждениями;</w:t>
      </w:r>
    </w:p>
    <w:p w:rsidR="00707A09" w:rsidRPr="00707A09" w:rsidRDefault="00707A09" w:rsidP="00707A09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Построение стратегии взаимодействия органов управления с управляющими советами;</w:t>
      </w:r>
    </w:p>
    <w:p w:rsidR="00707A09" w:rsidRPr="00707A09" w:rsidRDefault="00707A09" w:rsidP="00707A09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Обеспечение информационного взаимодействия  дошкольного образовательного учреждения с общественностью.</w:t>
      </w:r>
    </w:p>
    <w:p w:rsidR="00707A09" w:rsidRPr="00707A09" w:rsidRDefault="00707A09" w:rsidP="00707A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  <w:u w:val="single"/>
        </w:rPr>
        <w:t>Целевые группы программы стажировки: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A0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руководители, заместители руководителей, педагоги ДОУ.</w:t>
      </w: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07A09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идеи программы:</w:t>
      </w:r>
    </w:p>
    <w:p w:rsidR="00707A09" w:rsidRPr="00707A09" w:rsidRDefault="00707A09" w:rsidP="00707A09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Государственно-общественное взаимодействие, социальное партнерство как факторы развития дошкольного образования в гражданском обществе;</w:t>
      </w:r>
    </w:p>
    <w:p w:rsidR="00707A09" w:rsidRPr="00707A09" w:rsidRDefault="00707A09" w:rsidP="00707A09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Оптимальное для данной модели привлечение квалифицированных специалистов к принятию управленческих решений;</w:t>
      </w:r>
    </w:p>
    <w:p w:rsidR="00707A09" w:rsidRPr="00707A09" w:rsidRDefault="00707A09" w:rsidP="00707A09">
      <w:pPr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Адаптивность управленческой модели к изменяющимся социально-экономическим и педагогическим условиям, открытость, позволяющая субъектам управления своевременно вводить в имеющуюся систему новые структуры, отказываться от </w:t>
      </w:r>
      <w:proofErr w:type="gramStart"/>
      <w:r w:rsidRPr="00707A09">
        <w:rPr>
          <w:rFonts w:ascii="Times New Roman" w:eastAsia="Times New Roman" w:hAnsi="Times New Roman" w:cs="Times New Roman"/>
          <w:sz w:val="28"/>
          <w:szCs w:val="28"/>
        </w:rPr>
        <w:t>устаревших</w:t>
      </w:r>
      <w:proofErr w:type="gramEnd"/>
      <w:r w:rsidRPr="00707A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B1E" w:rsidRDefault="00DD1B1E" w:rsidP="00707A09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окончанию курсов слушатели должны </w:t>
      </w:r>
      <w:r w:rsidRPr="00707A0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знать</w:t>
      </w:r>
      <w:r w:rsidRPr="00707A09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707A09" w:rsidRPr="00707A09" w:rsidRDefault="00707A09" w:rsidP="00707A09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Цели и задачи внедрения государственно-общественного  управления. </w:t>
      </w:r>
    </w:p>
    <w:p w:rsidR="00707A09" w:rsidRPr="00707A09" w:rsidRDefault="00707A09" w:rsidP="00707A09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Управленческие функции государственно-общественного  управления.</w:t>
      </w:r>
    </w:p>
    <w:p w:rsidR="00707A09" w:rsidRPr="00707A09" w:rsidRDefault="00707A09" w:rsidP="00707A09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Разграничение полномочий управляющего,  педагогического, методического советов. </w:t>
      </w:r>
    </w:p>
    <w:p w:rsidR="00707A09" w:rsidRPr="00707A09" w:rsidRDefault="00707A09" w:rsidP="00707A09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Содержание видов деятельности управляющего совета.</w:t>
      </w:r>
    </w:p>
    <w:p w:rsidR="00707A09" w:rsidRPr="00707A09" w:rsidRDefault="00707A09" w:rsidP="00707A09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Особенности осуществления  презентации публичного доклада дошкольной образовательной организации на современном этапе.</w:t>
      </w: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</w:p>
    <w:p w:rsidR="00DD1B1E" w:rsidRDefault="00DD1B1E" w:rsidP="00707A09">
      <w:pPr>
        <w:widowControl w:val="0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left="643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</w:t>
      </w:r>
      <w:r w:rsidRPr="00707A09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Разработать собственные модели государственно-общественного управления дошкольным образовательным учреждением.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Выстроить стратегию взаимодействия с управляющими советами.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Разрабатывать пакет документов по государственно-общественному управлению дошкольным образовательным учреждением.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Работать  с пакетом методических материалов по организации управляющих советов детского сада.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информационные ресурсы для осуществления публичной презентации.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Организовывать мероприятия по самоуправлению педагогов и родителей в детском саду.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Соотносить  публичный доклад с существующими в детском саду отчетными документами </w:t>
      </w:r>
    </w:p>
    <w:p w:rsidR="00707A09" w:rsidRPr="00707A09" w:rsidRDefault="00707A09" w:rsidP="00707A09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Использовать разные формы общения как  посетителей сайта.</w:t>
      </w:r>
    </w:p>
    <w:p w:rsidR="00DD1B1E" w:rsidRDefault="00707A09" w:rsidP="00DD1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7A0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(стажировка) направлено на формирование и совершенствование профессиональных компетентностей слушателей (стажеров) посредством включения их в практику дошкольного образовательного учреждения - носителя актуального инновационного опыта, с целью разработки индивидуальной модели государственно-общественного управления дошкольным образовательным учреждением, разрабатываемого слушателями (стажерами) на основе изучения инновационного опыта  к условиям своего дошкольного образовательного учреждения</w:t>
      </w:r>
      <w:r w:rsidRPr="00707A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707A09" w:rsidRPr="00707A09" w:rsidRDefault="00707A09" w:rsidP="00707A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>Расширение участия общественности и всех участников образовательного процесса в повышение конкурентоспособности дошкольного учреждения и качества предоставляемых услуг.</w:t>
      </w:r>
    </w:p>
    <w:p w:rsidR="00707A09" w:rsidRPr="00707A09" w:rsidRDefault="00707A09" w:rsidP="00707A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proofErr w:type="spellStart"/>
      <w:r w:rsidRPr="00707A09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площадки осуществляются подготовка и издание методических рекомендаций, сборников материалов деятельности </w:t>
      </w:r>
      <w:proofErr w:type="spellStart"/>
      <w:r w:rsidRPr="00707A09">
        <w:rPr>
          <w:rFonts w:ascii="Times New Roman" w:eastAsia="Times New Roman" w:hAnsi="Times New Roman" w:cs="Times New Roman"/>
          <w:sz w:val="28"/>
          <w:szCs w:val="28"/>
        </w:rPr>
        <w:t>стажировочной</w:t>
      </w:r>
      <w:proofErr w:type="spellEnd"/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 площадки. </w:t>
      </w:r>
    </w:p>
    <w:p w:rsidR="00212D8F" w:rsidRDefault="00DD1B1E" w:rsidP="00DD1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A09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работы со слушателями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>, презентация опыта работы, мастер-классы</w:t>
      </w:r>
      <w:r>
        <w:rPr>
          <w:rFonts w:ascii="Times New Roman" w:eastAsia="Times New Roman" w:hAnsi="Times New Roman" w:cs="Times New Roman"/>
          <w:sz w:val="28"/>
          <w:szCs w:val="28"/>
        </w:rPr>
        <w:t>, открытые показы</w:t>
      </w:r>
      <w:r w:rsidRPr="00707A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2D8F" w:rsidRDefault="00212D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12D8F" w:rsidRPr="00212D8F" w:rsidRDefault="00212D8F" w:rsidP="00212D8F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 – тематический план стажировки</w:t>
      </w:r>
    </w:p>
    <w:p w:rsidR="00212D8F" w:rsidRPr="00212D8F" w:rsidRDefault="00212D8F" w:rsidP="00212D8F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2D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ГКДОУ «Детский сад №31 «Сказка», г. Невинномысск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209"/>
        <w:gridCol w:w="1116"/>
        <w:gridCol w:w="1307"/>
        <w:gridCol w:w="1264"/>
        <w:gridCol w:w="1106"/>
        <w:gridCol w:w="1936"/>
      </w:tblGrid>
      <w:tr w:rsidR="00212D8F" w:rsidRPr="00212D8F" w:rsidTr="00686A21">
        <w:tc>
          <w:tcPr>
            <w:tcW w:w="671" w:type="dxa"/>
            <w:vMerge w:val="restart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649" w:type="dxa"/>
            <w:gridSpan w:val="3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212D8F" w:rsidRPr="00212D8F" w:rsidTr="00686A21">
        <w:tc>
          <w:tcPr>
            <w:tcW w:w="671" w:type="dxa"/>
            <w:vMerge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26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212D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., мастер-класс, и др.</w:t>
            </w:r>
          </w:p>
        </w:tc>
        <w:tc>
          <w:tcPr>
            <w:tcW w:w="1112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12D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</w:t>
            </w:r>
            <w:proofErr w:type="spellEnd"/>
            <w:r w:rsidRPr="00212D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стол</w:t>
            </w:r>
          </w:p>
        </w:tc>
        <w:tc>
          <w:tcPr>
            <w:tcW w:w="1948" w:type="dxa"/>
            <w:vMerge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2D8F" w:rsidRPr="00212D8F" w:rsidTr="00686A21">
        <w:tc>
          <w:tcPr>
            <w:tcW w:w="67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7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«Роль государственно - общественного управления  ГКДОУ д/с  № 31 «Сказка»  в   модернизации дошкольного образования в  условиях введения ФГОС».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Моделирование системы государственного управления из опыта работы ГКДОУ д/с  № 31 «Сказка».</w:t>
            </w:r>
          </w:p>
        </w:tc>
        <w:tc>
          <w:tcPr>
            <w:tcW w:w="112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Презентация опыта работы (1)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Новикова  И.А., заведующая ГКДОУ д/с №31 «Сказка» 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2D8F" w:rsidRPr="00212D8F" w:rsidTr="00686A21">
        <w:tc>
          <w:tcPr>
            <w:tcW w:w="67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7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органов государственного управления в развитии предметно-пространственной развивающей среды  в ГКДОУ д/с  № 31 «Сказка».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Практ</w:t>
            </w:r>
            <w:proofErr w:type="spellEnd"/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.(4)</w:t>
            </w:r>
          </w:p>
        </w:tc>
        <w:tc>
          <w:tcPr>
            <w:tcW w:w="1112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Воропинова</w:t>
            </w:r>
            <w:proofErr w:type="spellEnd"/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И.П.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Учитель-дефектолог  ГКДОУ д/с №31 «Сказка» 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2D8F" w:rsidRPr="00212D8F" w:rsidTr="00686A21">
        <w:tc>
          <w:tcPr>
            <w:tcW w:w="67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«Организация работы структурного подразделения мобильной бригады помощи семьям воспитывающих детей с ограниченными возможностями здоровья ГКДОУ «Детский сад №31 «Сказка».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Взаимодействия участников образовательного процесса как условие  эффективной работы модели государственно-образовательного управления  ГКДОУ д/с  № 31 «Сказка»</w:t>
            </w:r>
          </w:p>
        </w:tc>
        <w:tc>
          <w:tcPr>
            <w:tcW w:w="112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Опыт работы (1)</w:t>
            </w:r>
          </w:p>
        </w:tc>
        <w:tc>
          <w:tcPr>
            <w:tcW w:w="126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Деловая игра (1)</w:t>
            </w:r>
          </w:p>
        </w:tc>
        <w:tc>
          <w:tcPr>
            <w:tcW w:w="1112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Граф М.Э.,  заместитель заведующей ГКДОУ д/с №31 «Сказка» </w:t>
            </w:r>
          </w:p>
          <w:p w:rsidR="00212D8F" w:rsidRPr="00212D8F" w:rsidRDefault="00212D8F" w:rsidP="00212D8F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2D8F" w:rsidRPr="00212D8F" w:rsidTr="00686A21">
        <w:tc>
          <w:tcPr>
            <w:tcW w:w="67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7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21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9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2D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2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shd w:val="clear" w:color="auto" w:fill="auto"/>
          </w:tcPr>
          <w:p w:rsidR="00212D8F" w:rsidRPr="00212D8F" w:rsidRDefault="00212D8F" w:rsidP="00212D8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D1B1E" w:rsidRPr="00212D8F" w:rsidRDefault="00DD1B1E" w:rsidP="00212D8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1B1E" w:rsidRPr="00212D8F" w:rsidSect="00C748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FD"/>
    <w:multiLevelType w:val="hybridMultilevel"/>
    <w:tmpl w:val="99DC0544"/>
    <w:lvl w:ilvl="0" w:tplc="7C0E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5"/>
    <w:multiLevelType w:val="multilevel"/>
    <w:tmpl w:val="1BBE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52482"/>
    <w:multiLevelType w:val="multilevel"/>
    <w:tmpl w:val="74D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84695"/>
    <w:multiLevelType w:val="multilevel"/>
    <w:tmpl w:val="0EEE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E1E22"/>
    <w:multiLevelType w:val="multilevel"/>
    <w:tmpl w:val="5A76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73380"/>
    <w:multiLevelType w:val="multilevel"/>
    <w:tmpl w:val="C578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841C8"/>
    <w:multiLevelType w:val="multilevel"/>
    <w:tmpl w:val="BBAA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4CC8"/>
    <w:multiLevelType w:val="multilevel"/>
    <w:tmpl w:val="C6E4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2423D"/>
    <w:multiLevelType w:val="multilevel"/>
    <w:tmpl w:val="C9EC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16F37"/>
    <w:multiLevelType w:val="hybridMultilevel"/>
    <w:tmpl w:val="A40C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106BE"/>
    <w:multiLevelType w:val="multilevel"/>
    <w:tmpl w:val="93D8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844AD"/>
    <w:multiLevelType w:val="multilevel"/>
    <w:tmpl w:val="B008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D5158"/>
    <w:multiLevelType w:val="multilevel"/>
    <w:tmpl w:val="BDF2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D632A"/>
    <w:multiLevelType w:val="hybridMultilevel"/>
    <w:tmpl w:val="2E549DE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1BD731F2"/>
    <w:multiLevelType w:val="multilevel"/>
    <w:tmpl w:val="A5A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363F5"/>
    <w:multiLevelType w:val="multilevel"/>
    <w:tmpl w:val="B434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A3A78"/>
    <w:multiLevelType w:val="multilevel"/>
    <w:tmpl w:val="B998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EA0D63"/>
    <w:multiLevelType w:val="multilevel"/>
    <w:tmpl w:val="7D7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D5AA4"/>
    <w:multiLevelType w:val="multilevel"/>
    <w:tmpl w:val="FADC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550025"/>
    <w:multiLevelType w:val="hybridMultilevel"/>
    <w:tmpl w:val="2D14BCCA"/>
    <w:lvl w:ilvl="0" w:tplc="10BEB6C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A2B70F6"/>
    <w:multiLevelType w:val="hybridMultilevel"/>
    <w:tmpl w:val="DCBA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A4385D"/>
    <w:multiLevelType w:val="multilevel"/>
    <w:tmpl w:val="FA0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B2CB3"/>
    <w:multiLevelType w:val="multilevel"/>
    <w:tmpl w:val="177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35E26"/>
    <w:multiLevelType w:val="multilevel"/>
    <w:tmpl w:val="4E5A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D7CC5"/>
    <w:multiLevelType w:val="multilevel"/>
    <w:tmpl w:val="D1EA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3165E2"/>
    <w:multiLevelType w:val="multilevel"/>
    <w:tmpl w:val="C56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400C5"/>
    <w:multiLevelType w:val="multilevel"/>
    <w:tmpl w:val="494A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6C697F"/>
    <w:multiLevelType w:val="multilevel"/>
    <w:tmpl w:val="F8F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117E1"/>
    <w:multiLevelType w:val="multilevel"/>
    <w:tmpl w:val="9244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E653A1"/>
    <w:multiLevelType w:val="multilevel"/>
    <w:tmpl w:val="04B4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1B2E3D"/>
    <w:multiLevelType w:val="multilevel"/>
    <w:tmpl w:val="33D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A44D6"/>
    <w:multiLevelType w:val="multilevel"/>
    <w:tmpl w:val="00CC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73940"/>
    <w:multiLevelType w:val="multilevel"/>
    <w:tmpl w:val="F94C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A64D8F"/>
    <w:multiLevelType w:val="multilevel"/>
    <w:tmpl w:val="59160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591D4B"/>
    <w:multiLevelType w:val="hybridMultilevel"/>
    <w:tmpl w:val="0D3299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04541E"/>
    <w:multiLevelType w:val="multilevel"/>
    <w:tmpl w:val="9EF8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9473BA"/>
    <w:multiLevelType w:val="multilevel"/>
    <w:tmpl w:val="60FE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C43590"/>
    <w:multiLevelType w:val="multilevel"/>
    <w:tmpl w:val="0808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1062FE"/>
    <w:multiLevelType w:val="multilevel"/>
    <w:tmpl w:val="FA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164358"/>
    <w:multiLevelType w:val="multilevel"/>
    <w:tmpl w:val="E9C2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0B41C28"/>
    <w:multiLevelType w:val="multilevel"/>
    <w:tmpl w:val="CB8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D24B77"/>
    <w:multiLevelType w:val="multilevel"/>
    <w:tmpl w:val="8BFA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AA0E37"/>
    <w:multiLevelType w:val="multilevel"/>
    <w:tmpl w:val="27B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3070E0"/>
    <w:multiLevelType w:val="multilevel"/>
    <w:tmpl w:val="156A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3A6F37"/>
    <w:multiLevelType w:val="hybridMultilevel"/>
    <w:tmpl w:val="B622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A198B"/>
    <w:multiLevelType w:val="multilevel"/>
    <w:tmpl w:val="2C4E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0E197E"/>
    <w:multiLevelType w:val="multilevel"/>
    <w:tmpl w:val="74BE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837EA1"/>
    <w:multiLevelType w:val="multilevel"/>
    <w:tmpl w:val="80388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44455B"/>
    <w:multiLevelType w:val="multilevel"/>
    <w:tmpl w:val="D2F6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5"/>
  </w:num>
  <w:num w:numId="3">
    <w:abstractNumId w:val="1"/>
  </w:num>
  <w:num w:numId="4">
    <w:abstractNumId w:val="30"/>
  </w:num>
  <w:num w:numId="5">
    <w:abstractNumId w:val="29"/>
  </w:num>
  <w:num w:numId="6">
    <w:abstractNumId w:val="33"/>
  </w:num>
  <w:num w:numId="7">
    <w:abstractNumId w:val="47"/>
  </w:num>
  <w:num w:numId="8">
    <w:abstractNumId w:val="40"/>
  </w:num>
  <w:num w:numId="9">
    <w:abstractNumId w:val="12"/>
  </w:num>
  <w:num w:numId="10">
    <w:abstractNumId w:val="32"/>
  </w:num>
  <w:num w:numId="11">
    <w:abstractNumId w:val="25"/>
  </w:num>
  <w:num w:numId="12">
    <w:abstractNumId w:val="14"/>
  </w:num>
  <w:num w:numId="13">
    <w:abstractNumId w:val="10"/>
  </w:num>
  <w:num w:numId="14">
    <w:abstractNumId w:val="18"/>
  </w:num>
  <w:num w:numId="15">
    <w:abstractNumId w:val="26"/>
  </w:num>
  <w:num w:numId="16">
    <w:abstractNumId w:val="37"/>
  </w:num>
  <w:num w:numId="17">
    <w:abstractNumId w:val="23"/>
  </w:num>
  <w:num w:numId="18">
    <w:abstractNumId w:val="11"/>
  </w:num>
  <w:num w:numId="19">
    <w:abstractNumId w:val="2"/>
  </w:num>
  <w:num w:numId="20">
    <w:abstractNumId w:val="31"/>
  </w:num>
  <w:num w:numId="21">
    <w:abstractNumId w:val="38"/>
  </w:num>
  <w:num w:numId="22">
    <w:abstractNumId w:val="28"/>
  </w:num>
  <w:num w:numId="23">
    <w:abstractNumId w:val="21"/>
  </w:num>
  <w:num w:numId="24">
    <w:abstractNumId w:val="7"/>
  </w:num>
  <w:num w:numId="25">
    <w:abstractNumId w:val="3"/>
  </w:num>
  <w:num w:numId="26">
    <w:abstractNumId w:val="6"/>
  </w:num>
  <w:num w:numId="27">
    <w:abstractNumId w:val="8"/>
  </w:num>
  <w:num w:numId="28">
    <w:abstractNumId w:val="35"/>
  </w:num>
  <w:num w:numId="29">
    <w:abstractNumId w:val="48"/>
  </w:num>
  <w:num w:numId="30">
    <w:abstractNumId w:val="46"/>
  </w:num>
  <w:num w:numId="31">
    <w:abstractNumId w:val="41"/>
  </w:num>
  <w:num w:numId="32">
    <w:abstractNumId w:val="24"/>
  </w:num>
  <w:num w:numId="33">
    <w:abstractNumId w:val="17"/>
  </w:num>
  <w:num w:numId="34">
    <w:abstractNumId w:val="16"/>
  </w:num>
  <w:num w:numId="35">
    <w:abstractNumId w:val="42"/>
  </w:num>
  <w:num w:numId="36">
    <w:abstractNumId w:val="45"/>
  </w:num>
  <w:num w:numId="37">
    <w:abstractNumId w:val="43"/>
  </w:num>
  <w:num w:numId="38">
    <w:abstractNumId w:val="5"/>
  </w:num>
  <w:num w:numId="39">
    <w:abstractNumId w:val="22"/>
  </w:num>
  <w:num w:numId="40">
    <w:abstractNumId w:val="27"/>
  </w:num>
  <w:num w:numId="41">
    <w:abstractNumId w:val="4"/>
  </w:num>
  <w:num w:numId="42">
    <w:abstractNumId w:val="0"/>
  </w:num>
  <w:num w:numId="43">
    <w:abstractNumId w:val="39"/>
  </w:num>
  <w:num w:numId="44">
    <w:abstractNumId w:val="44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3"/>
  </w:num>
  <w:num w:numId="48">
    <w:abstractNumId w:val="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5"/>
    <w:rsid w:val="00077F1D"/>
    <w:rsid w:val="000840EB"/>
    <w:rsid w:val="000A088B"/>
    <w:rsid w:val="000B5F09"/>
    <w:rsid w:val="000B69D4"/>
    <w:rsid w:val="000E1BE1"/>
    <w:rsid w:val="00117381"/>
    <w:rsid w:val="0016548A"/>
    <w:rsid w:val="001E2E5C"/>
    <w:rsid w:val="00212D8F"/>
    <w:rsid w:val="00281194"/>
    <w:rsid w:val="00296BB9"/>
    <w:rsid w:val="0031227E"/>
    <w:rsid w:val="0034269C"/>
    <w:rsid w:val="0035015B"/>
    <w:rsid w:val="00377959"/>
    <w:rsid w:val="003F3BD0"/>
    <w:rsid w:val="003F59AF"/>
    <w:rsid w:val="00470EB5"/>
    <w:rsid w:val="004D57DD"/>
    <w:rsid w:val="00513088"/>
    <w:rsid w:val="00555785"/>
    <w:rsid w:val="00565E19"/>
    <w:rsid w:val="00586C32"/>
    <w:rsid w:val="0060313B"/>
    <w:rsid w:val="0060596F"/>
    <w:rsid w:val="006704CF"/>
    <w:rsid w:val="006A30A5"/>
    <w:rsid w:val="006C0506"/>
    <w:rsid w:val="006F5A69"/>
    <w:rsid w:val="00707A09"/>
    <w:rsid w:val="00726FC6"/>
    <w:rsid w:val="0079372E"/>
    <w:rsid w:val="007A3AF2"/>
    <w:rsid w:val="007E5848"/>
    <w:rsid w:val="00831C8B"/>
    <w:rsid w:val="008C4825"/>
    <w:rsid w:val="008D6099"/>
    <w:rsid w:val="009204F1"/>
    <w:rsid w:val="009725A2"/>
    <w:rsid w:val="00A32609"/>
    <w:rsid w:val="00A465CD"/>
    <w:rsid w:val="00A60601"/>
    <w:rsid w:val="00A662DB"/>
    <w:rsid w:val="00A94F19"/>
    <w:rsid w:val="00B0140F"/>
    <w:rsid w:val="00B77676"/>
    <w:rsid w:val="00B77A24"/>
    <w:rsid w:val="00BA062A"/>
    <w:rsid w:val="00BE7BB1"/>
    <w:rsid w:val="00C14B9C"/>
    <w:rsid w:val="00C259DB"/>
    <w:rsid w:val="00C748E4"/>
    <w:rsid w:val="00CB0F9D"/>
    <w:rsid w:val="00CD3D9A"/>
    <w:rsid w:val="00CF222F"/>
    <w:rsid w:val="00D04F84"/>
    <w:rsid w:val="00D10637"/>
    <w:rsid w:val="00D62D75"/>
    <w:rsid w:val="00D736CC"/>
    <w:rsid w:val="00DA6D5A"/>
    <w:rsid w:val="00DB11DF"/>
    <w:rsid w:val="00DD1B1E"/>
    <w:rsid w:val="00DE1C86"/>
    <w:rsid w:val="00E639B8"/>
    <w:rsid w:val="00EB4898"/>
    <w:rsid w:val="00EF6842"/>
    <w:rsid w:val="00F2340C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0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30A5"/>
  </w:style>
  <w:style w:type="character" w:customStyle="1" w:styleId="c0">
    <w:name w:val="c0"/>
    <w:basedOn w:val="a0"/>
    <w:rsid w:val="006A30A5"/>
  </w:style>
  <w:style w:type="paragraph" w:customStyle="1" w:styleId="c3">
    <w:name w:val="c3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6A30A5"/>
  </w:style>
  <w:style w:type="character" w:customStyle="1" w:styleId="c5">
    <w:name w:val="c5"/>
    <w:basedOn w:val="a0"/>
    <w:rsid w:val="006A30A5"/>
  </w:style>
  <w:style w:type="character" w:customStyle="1" w:styleId="c54">
    <w:name w:val="c54"/>
    <w:basedOn w:val="a0"/>
    <w:rsid w:val="006A30A5"/>
  </w:style>
  <w:style w:type="character" w:customStyle="1" w:styleId="c38">
    <w:name w:val="c38"/>
    <w:basedOn w:val="a0"/>
    <w:rsid w:val="006A30A5"/>
  </w:style>
  <w:style w:type="paragraph" w:styleId="a3">
    <w:name w:val="Normal (Web)"/>
    <w:basedOn w:val="a"/>
    <w:uiPriority w:val="99"/>
    <w:unhideWhenUsed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0A5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rsid w:val="006A30A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A30A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88B"/>
    <w:pPr>
      <w:ind w:left="720"/>
      <w:contextualSpacing/>
    </w:pPr>
  </w:style>
  <w:style w:type="character" w:styleId="a9">
    <w:name w:val="Hyperlink"/>
    <w:uiPriority w:val="99"/>
    <w:semiHidden/>
    <w:unhideWhenUsed/>
    <w:rsid w:val="004D5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0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7">
    <w:name w:val="c7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30A5"/>
  </w:style>
  <w:style w:type="character" w:customStyle="1" w:styleId="c0">
    <w:name w:val="c0"/>
    <w:basedOn w:val="a0"/>
    <w:rsid w:val="006A30A5"/>
  </w:style>
  <w:style w:type="paragraph" w:customStyle="1" w:styleId="c3">
    <w:name w:val="c3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6A30A5"/>
  </w:style>
  <w:style w:type="character" w:customStyle="1" w:styleId="c5">
    <w:name w:val="c5"/>
    <w:basedOn w:val="a0"/>
    <w:rsid w:val="006A30A5"/>
  </w:style>
  <w:style w:type="character" w:customStyle="1" w:styleId="c54">
    <w:name w:val="c54"/>
    <w:basedOn w:val="a0"/>
    <w:rsid w:val="006A30A5"/>
  </w:style>
  <w:style w:type="character" w:customStyle="1" w:styleId="c38">
    <w:name w:val="c38"/>
    <w:basedOn w:val="a0"/>
    <w:rsid w:val="006A30A5"/>
  </w:style>
  <w:style w:type="paragraph" w:styleId="a3">
    <w:name w:val="Normal (Web)"/>
    <w:basedOn w:val="a"/>
    <w:uiPriority w:val="99"/>
    <w:unhideWhenUsed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30A5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rsid w:val="006A30A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A30A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4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088B"/>
    <w:pPr>
      <w:ind w:left="720"/>
      <w:contextualSpacing/>
    </w:pPr>
  </w:style>
  <w:style w:type="character" w:styleId="a9">
    <w:name w:val="Hyperlink"/>
    <w:uiPriority w:val="99"/>
    <w:semiHidden/>
    <w:unhideWhenUsed/>
    <w:rsid w:val="004D5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Metodist</cp:lastModifiedBy>
  <cp:revision>4</cp:revision>
  <cp:lastPrinted>2014-10-21T08:14:00Z</cp:lastPrinted>
  <dcterms:created xsi:type="dcterms:W3CDTF">2015-10-28T12:09:00Z</dcterms:created>
  <dcterms:modified xsi:type="dcterms:W3CDTF">2015-10-29T12:45:00Z</dcterms:modified>
</cp:coreProperties>
</file>